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D64" w:rsidRDefault="00366D64" w:rsidP="00366D64">
      <w:pPr>
        <w:pStyle w:val="Heading1"/>
        <w:tabs>
          <w:tab w:val="left" w:pos="709"/>
        </w:tabs>
        <w:spacing w:after="120"/>
        <w:rPr>
          <w:rFonts w:asciiTheme="minorHAnsi" w:hAnsiTheme="minorHAnsi" w:cs="Arial"/>
          <w:bCs w:val="0"/>
          <w:color w:val="70AD47" w:themeColor="accent6"/>
          <w:sz w:val="26"/>
          <w:szCs w:val="26"/>
        </w:rPr>
      </w:pPr>
      <w:r w:rsidRPr="00DC265F">
        <w:rPr>
          <w:rFonts w:asciiTheme="minorHAnsi" w:hAnsiTheme="minorHAnsi" w:cs="Arial"/>
          <w:bCs w:val="0"/>
          <w:color w:val="70AD47" w:themeColor="accent6"/>
          <w:sz w:val="26"/>
          <w:szCs w:val="26"/>
        </w:rPr>
        <w:t xml:space="preserve">ИЗЈАВА НА АПЛИКАНТОТ  </w:t>
      </w:r>
    </w:p>
    <w:p w:rsidR="00366D64" w:rsidRPr="00366D64" w:rsidRDefault="00366D64" w:rsidP="00366D64"/>
    <w:p w:rsidR="00366D64" w:rsidRPr="00056292" w:rsidRDefault="00366D64" w:rsidP="00366D64">
      <w:pPr>
        <w:jc w:val="both"/>
      </w:pPr>
      <w:r w:rsidRPr="00366D64">
        <w:rPr>
          <w:highlight w:val="yellow"/>
        </w:rPr>
        <w:t>(се поднесува во оригинал)</w:t>
      </w:r>
      <w:r w:rsidRPr="00056292">
        <w:t xml:space="preserve"> Овластениот потписник на апликантот во име на правното лице, кој во контекст на овој повик за доделување </w:t>
      </w:r>
      <w:proofErr w:type="spellStart"/>
      <w:r w:rsidRPr="00056292">
        <w:t>грантови</w:t>
      </w:r>
      <w:proofErr w:type="spellEnd"/>
      <w:r w:rsidRPr="00056292">
        <w:t xml:space="preserve"> ги претставува и ко- </w:t>
      </w:r>
      <w:proofErr w:type="spellStart"/>
      <w:r w:rsidRPr="00056292">
        <w:t>апликантите</w:t>
      </w:r>
      <w:proofErr w:type="spellEnd"/>
      <w:r w:rsidRPr="00056292">
        <w:t xml:space="preserve"> и партнерите, </w:t>
      </w:r>
      <w:r>
        <w:t>под</w:t>
      </w:r>
      <w:r w:rsidRPr="00056292">
        <w:t xml:space="preserve"> целосна </w:t>
      </w:r>
      <w:r>
        <w:t>морална</w:t>
      </w:r>
      <w:r w:rsidRPr="00056292">
        <w:t xml:space="preserve">, материјална и </w:t>
      </w:r>
      <w:r>
        <w:t>кривична одговорност</w:t>
      </w:r>
      <w:r w:rsidRPr="00056292">
        <w:t xml:space="preserve"> изјавува дека:</w:t>
      </w:r>
    </w:p>
    <w:p w:rsidR="00366D64" w:rsidRPr="00056292" w:rsidRDefault="00366D64" w:rsidP="00366D64">
      <w:pPr>
        <w:pStyle w:val="ListParagraph"/>
        <w:numPr>
          <w:ilvl w:val="0"/>
          <w:numId w:val="1"/>
        </w:numPr>
        <w:ind w:left="284" w:hanging="142"/>
        <w:jc w:val="both"/>
      </w:pPr>
      <w:r w:rsidRPr="00056292">
        <w:t xml:space="preserve">Апликантот, ко- </w:t>
      </w:r>
      <w:proofErr w:type="spellStart"/>
      <w:r w:rsidRPr="00056292">
        <w:t>апликантите</w:t>
      </w:r>
      <w:proofErr w:type="spellEnd"/>
      <w:r w:rsidRPr="00056292">
        <w:t xml:space="preserve"> и партнерите (ако ги има) ги исполнуваат критериумите за подобност наведени во Програмата и упатството за аплицирање и ќе ги почитуваат принципите на добра партнерска пракса.</w:t>
      </w:r>
    </w:p>
    <w:p w:rsidR="00366D64" w:rsidRPr="00056292" w:rsidRDefault="00366D64" w:rsidP="00366D64">
      <w:pPr>
        <w:pStyle w:val="ListParagraph"/>
        <w:numPr>
          <w:ilvl w:val="0"/>
          <w:numId w:val="1"/>
        </w:numPr>
        <w:ind w:left="284" w:hanging="142"/>
        <w:jc w:val="both"/>
      </w:pPr>
      <w:r w:rsidRPr="00056292">
        <w:t xml:space="preserve">Апликантот поседува соодветни професионални компетенции и капацитет за да го спроведе предложениот проект. </w:t>
      </w:r>
    </w:p>
    <w:p w:rsidR="00366D64" w:rsidRPr="00056292" w:rsidRDefault="00366D64" w:rsidP="00366D64">
      <w:pPr>
        <w:pStyle w:val="ListParagraph"/>
        <w:numPr>
          <w:ilvl w:val="0"/>
          <w:numId w:val="1"/>
        </w:numPr>
        <w:ind w:left="284" w:hanging="142"/>
        <w:jc w:val="both"/>
      </w:pPr>
      <w:r w:rsidRPr="00056292">
        <w:t xml:space="preserve">Апликантот, ко- </w:t>
      </w:r>
      <w:proofErr w:type="spellStart"/>
      <w:r w:rsidRPr="00056292">
        <w:t>апликантите</w:t>
      </w:r>
      <w:proofErr w:type="spellEnd"/>
      <w:r w:rsidRPr="00056292">
        <w:t xml:space="preserve"> и партнерите се обврзуваат да ги почитуваат обврските предвидени во образецот за пријава за грант и со принципите на добра партнерска пракса;</w:t>
      </w:r>
    </w:p>
    <w:p w:rsidR="00366D64" w:rsidRPr="00056292" w:rsidRDefault="00366D64" w:rsidP="00366D64">
      <w:pPr>
        <w:pStyle w:val="ListParagraph"/>
        <w:numPr>
          <w:ilvl w:val="0"/>
          <w:numId w:val="1"/>
        </w:numPr>
        <w:ind w:left="284" w:hanging="142"/>
        <w:jc w:val="both"/>
      </w:pPr>
      <w:r w:rsidRPr="00056292">
        <w:t>Апликантот е директно одговорен за подготовката, управувањето и спроведувањето на активноста со ко- апликантот (</w:t>
      </w:r>
      <w:proofErr w:type="spellStart"/>
      <w:r w:rsidRPr="00056292">
        <w:t>ите</w:t>
      </w:r>
      <w:proofErr w:type="spellEnd"/>
      <w:r w:rsidRPr="00056292">
        <w:t>), доколку ги има, и не дејствува како посредник;</w:t>
      </w:r>
    </w:p>
    <w:p w:rsidR="00366D64" w:rsidRPr="00056292" w:rsidRDefault="00366D64" w:rsidP="00366D64">
      <w:pPr>
        <w:pStyle w:val="ListParagraph"/>
        <w:numPr>
          <w:ilvl w:val="0"/>
          <w:numId w:val="1"/>
        </w:numPr>
        <w:ind w:left="284" w:hanging="142"/>
        <w:jc w:val="both"/>
      </w:pPr>
      <w:r w:rsidRPr="00056292">
        <w:t xml:space="preserve">Апликантот и ко- </w:t>
      </w:r>
      <w:proofErr w:type="spellStart"/>
      <w:r w:rsidRPr="00056292">
        <w:t>апликантите</w:t>
      </w:r>
      <w:proofErr w:type="spellEnd"/>
      <w:r w:rsidRPr="00056292">
        <w:t xml:space="preserve"> и партнерите (ако ги има) не се во ниту една од ситуациите што ги исклучуваат</w:t>
      </w:r>
      <w:r w:rsidRPr="00056292">
        <w:rPr>
          <w:lang w:val="en-US"/>
        </w:rPr>
        <w:t xml:space="preserve"> </w:t>
      </w:r>
      <w:r w:rsidRPr="00056292">
        <w:t>од можност да стапат во договор за користење средства од ЕУ  наведени во Процедурите и практичниот водич на ЕУ (</w:t>
      </w:r>
      <w:proofErr w:type="spellStart"/>
      <w:r w:rsidRPr="00056292">
        <w:t>Procedures</w:t>
      </w:r>
      <w:proofErr w:type="spellEnd"/>
      <w:r w:rsidRPr="00056292">
        <w:t xml:space="preserve"> </w:t>
      </w:r>
      <w:proofErr w:type="spellStart"/>
      <w:r w:rsidRPr="00056292">
        <w:t>and</w:t>
      </w:r>
      <w:proofErr w:type="spellEnd"/>
      <w:r w:rsidRPr="00056292">
        <w:t xml:space="preserve"> </w:t>
      </w:r>
      <w:proofErr w:type="spellStart"/>
      <w:r w:rsidRPr="00056292">
        <w:t>practical</w:t>
      </w:r>
      <w:proofErr w:type="spellEnd"/>
      <w:r w:rsidRPr="00056292">
        <w:t xml:space="preserve"> </w:t>
      </w:r>
      <w:proofErr w:type="spellStart"/>
      <w:r w:rsidRPr="00056292">
        <w:t>guide</w:t>
      </w:r>
      <w:proofErr w:type="spellEnd"/>
      <w:r w:rsidRPr="00056292">
        <w:t xml:space="preserve"> -</w:t>
      </w:r>
      <w:r w:rsidRPr="00056292">
        <w:rPr>
          <w:lang w:val="en-US"/>
        </w:rPr>
        <w:t xml:space="preserve"> PRAG</w:t>
      </w:r>
      <w:r w:rsidRPr="00056292">
        <w:t xml:space="preserve">) во делот 2.3.3 достапен на следниот линк: </w:t>
      </w:r>
      <w:hyperlink r:id="rId9" w:history="1">
        <w:r w:rsidRPr="00056292">
          <w:rPr>
            <w:rStyle w:val="Hyperlink"/>
          </w:rPr>
          <w:t>http://ec.europa.eu/europeaid/prag/document.do</w:t>
        </w:r>
      </w:hyperlink>
      <w:r w:rsidRPr="00056292">
        <w:t xml:space="preserve">   </w:t>
      </w:r>
    </w:p>
    <w:p w:rsidR="00366D64" w:rsidRPr="00056292" w:rsidRDefault="00366D64" w:rsidP="00366D64">
      <w:pPr>
        <w:pStyle w:val="ListParagraph"/>
        <w:numPr>
          <w:ilvl w:val="0"/>
          <w:numId w:val="1"/>
        </w:numPr>
        <w:ind w:left="284" w:hanging="142"/>
        <w:jc w:val="both"/>
      </w:pPr>
      <w:r w:rsidRPr="00056292">
        <w:t xml:space="preserve">Апликантот и ко- </w:t>
      </w:r>
      <w:proofErr w:type="spellStart"/>
      <w:r w:rsidRPr="00056292">
        <w:t>апликантите</w:t>
      </w:r>
      <w:proofErr w:type="spellEnd"/>
      <w:r w:rsidRPr="00056292">
        <w:t xml:space="preserve"> се свесни дека, заради заштита на финансиските интереси на ЕУ, нивните лични податоци може да се пренесат на службите за внатрешна ревизија, до Европскиот суд на ревизори до Комисијата за финансиски неправилности или до Европската канцеларија за спречување измами.</w:t>
      </w:r>
    </w:p>
    <w:p w:rsidR="00366D64" w:rsidRPr="00056292" w:rsidRDefault="00366D64" w:rsidP="00366D64">
      <w:pPr>
        <w:pStyle w:val="ListParagraph"/>
        <w:numPr>
          <w:ilvl w:val="0"/>
          <w:numId w:val="1"/>
        </w:numPr>
        <w:ind w:left="284" w:hanging="142"/>
        <w:jc w:val="both"/>
      </w:pPr>
      <w:r w:rsidRPr="00056292">
        <w:t xml:space="preserve">Приложените документи се валидни и нивните копии се веродостојни на оригиналот. </w:t>
      </w:r>
    </w:p>
    <w:p w:rsidR="00366D64" w:rsidRPr="00056292" w:rsidRDefault="00366D64" w:rsidP="00366D64">
      <w:pPr>
        <w:jc w:val="both"/>
      </w:pPr>
      <w:r w:rsidRPr="00056292">
        <w:t xml:space="preserve">За какви било промени поврзани со изјавеното апликантот се обврзува без одлагање да го информира </w:t>
      </w:r>
      <w:r>
        <w:t>Здружението Отворена порта</w:t>
      </w:r>
      <w:r w:rsidRPr="00056292">
        <w:t>. Дополнително апликантот ќе постапи на истиот начин ако истата пријава е одобрена за финансирање од страна на други институции/ организации, по поднесувањето на овој формулар.</w:t>
      </w:r>
    </w:p>
    <w:p w:rsidR="00366D64" w:rsidRDefault="00366D64" w:rsidP="00366D64">
      <w:pPr>
        <w:jc w:val="both"/>
      </w:pPr>
      <w:r w:rsidRPr="00056292">
        <w:t xml:space="preserve">Доколку оваа апликација биде прифатена се обврзуваме, добиените средства да ги искористиме исклучиво за целите за кои е поднесена оваа апликација и во согласност со договор. Во случај да се утврди, дека доделените средства се употребени за цели надвор од оваа апликација истите ќе ги вратиме и ќе ги </w:t>
      </w:r>
      <w:proofErr w:type="spellStart"/>
      <w:r w:rsidRPr="00056292">
        <w:t>сносиме</w:t>
      </w:r>
      <w:proofErr w:type="spellEnd"/>
      <w:r w:rsidRPr="00056292">
        <w:t xml:space="preserve"> последиците од таквото постапување.</w:t>
      </w:r>
    </w:p>
    <w:p w:rsidR="00366D64" w:rsidRPr="00056292" w:rsidRDefault="00366D64" w:rsidP="00366D64">
      <w:pPr>
        <w:jc w:val="both"/>
      </w:pPr>
      <w:bookmarkStart w:id="0" w:name="_GoBack"/>
      <w:bookmarkEnd w:id="0"/>
    </w:p>
    <w:tbl>
      <w:tblPr>
        <w:tblW w:w="0" w:type="auto"/>
        <w:jc w:val="center"/>
        <w:tblInd w:w="5" w:type="dxa"/>
        <w:tblLayout w:type="fixed"/>
        <w:tblCellMar>
          <w:left w:w="0" w:type="dxa"/>
          <w:right w:w="0" w:type="dxa"/>
        </w:tblCellMar>
        <w:tblLook w:val="0000" w:firstRow="0" w:lastRow="0" w:firstColumn="0" w:lastColumn="0" w:noHBand="0" w:noVBand="0"/>
      </w:tblPr>
      <w:tblGrid>
        <w:gridCol w:w="2552"/>
        <w:gridCol w:w="6088"/>
      </w:tblGrid>
      <w:tr w:rsidR="00366D64" w:rsidRPr="00056292" w:rsidTr="0066089B">
        <w:trPr>
          <w:cantSplit/>
          <w:trHeight w:val="395"/>
          <w:jc w:val="center"/>
        </w:trPr>
        <w:tc>
          <w:tcPr>
            <w:tcW w:w="2552" w:type="dxa"/>
            <w:tcBorders>
              <w:top w:val="single" w:sz="4" w:space="0" w:color="000000"/>
              <w:left w:val="single" w:sz="4" w:space="0" w:color="000000"/>
              <w:bottom w:val="single" w:sz="4" w:space="0" w:color="000000"/>
            </w:tcBorders>
            <w:shd w:val="clear" w:color="auto" w:fill="D9D9D9"/>
            <w:vAlign w:val="center"/>
          </w:tcPr>
          <w:p w:rsidR="00366D64" w:rsidRPr="00056292" w:rsidRDefault="00366D64" w:rsidP="0021748B">
            <w:pPr>
              <w:spacing w:beforeAutospacing="1" w:after="0" w:afterAutospacing="1"/>
              <w:textAlignment w:val="baseline"/>
              <w:rPr>
                <w:rFonts w:eastAsia="Times New Roman" w:cstheme="minorHAnsi"/>
                <w:b/>
              </w:rPr>
            </w:pPr>
            <w:r w:rsidRPr="00056292">
              <w:rPr>
                <w:rFonts w:eastAsia="Times New Roman" w:cstheme="minorHAnsi"/>
                <w:b/>
              </w:rPr>
              <w:t>Име и презиме/ позиција:</w:t>
            </w:r>
          </w:p>
        </w:tc>
        <w:tc>
          <w:tcPr>
            <w:tcW w:w="6088" w:type="dxa"/>
            <w:tcBorders>
              <w:top w:val="single" w:sz="4" w:space="0" w:color="000000"/>
              <w:left w:val="single" w:sz="4" w:space="0" w:color="000000"/>
              <w:bottom w:val="single" w:sz="4" w:space="0" w:color="000000"/>
              <w:right w:val="single" w:sz="4" w:space="0" w:color="000000"/>
            </w:tcBorders>
            <w:vAlign w:val="center"/>
          </w:tcPr>
          <w:p w:rsidR="00366D64" w:rsidRPr="00056292" w:rsidRDefault="00366D64" w:rsidP="0021748B">
            <w:pPr>
              <w:snapToGrid w:val="0"/>
              <w:rPr>
                <w:b/>
                <w:color w:val="000000"/>
              </w:rPr>
            </w:pPr>
            <w:r w:rsidRPr="00056292">
              <w:rPr>
                <w:b/>
                <w:color w:val="000000"/>
              </w:rPr>
              <w:t xml:space="preserve"> </w:t>
            </w:r>
          </w:p>
        </w:tc>
      </w:tr>
      <w:tr w:rsidR="00366D64" w:rsidRPr="00056292" w:rsidTr="0066089B">
        <w:trPr>
          <w:cantSplit/>
          <w:trHeight w:val="413"/>
          <w:jc w:val="center"/>
        </w:trPr>
        <w:tc>
          <w:tcPr>
            <w:tcW w:w="2552" w:type="dxa"/>
            <w:tcBorders>
              <w:top w:val="single" w:sz="4" w:space="0" w:color="000000"/>
              <w:left w:val="single" w:sz="4" w:space="0" w:color="000000"/>
              <w:bottom w:val="single" w:sz="4" w:space="0" w:color="000000"/>
            </w:tcBorders>
            <w:shd w:val="clear" w:color="auto" w:fill="D9D9D9"/>
            <w:vAlign w:val="center"/>
          </w:tcPr>
          <w:p w:rsidR="00366D64" w:rsidRPr="00056292" w:rsidRDefault="00366D64" w:rsidP="0021748B">
            <w:pPr>
              <w:spacing w:beforeAutospacing="1" w:after="0" w:afterAutospacing="1"/>
              <w:textAlignment w:val="baseline"/>
              <w:rPr>
                <w:rFonts w:eastAsia="Times New Roman" w:cstheme="minorHAnsi"/>
                <w:b/>
              </w:rPr>
            </w:pPr>
            <w:r w:rsidRPr="00056292">
              <w:rPr>
                <w:rFonts w:eastAsia="Times New Roman" w:cstheme="minorHAnsi"/>
                <w:b/>
              </w:rPr>
              <w:t>Организација:</w:t>
            </w:r>
          </w:p>
        </w:tc>
        <w:tc>
          <w:tcPr>
            <w:tcW w:w="6088" w:type="dxa"/>
            <w:tcBorders>
              <w:top w:val="single" w:sz="4" w:space="0" w:color="000000"/>
              <w:left w:val="single" w:sz="4" w:space="0" w:color="000000"/>
              <w:bottom w:val="single" w:sz="4" w:space="0" w:color="000000"/>
              <w:right w:val="single" w:sz="4" w:space="0" w:color="000000"/>
            </w:tcBorders>
            <w:vAlign w:val="center"/>
          </w:tcPr>
          <w:p w:rsidR="00366D64" w:rsidRPr="00056292" w:rsidRDefault="00366D64" w:rsidP="0021748B">
            <w:pPr>
              <w:snapToGrid w:val="0"/>
              <w:rPr>
                <w:b/>
                <w:color w:val="000000"/>
              </w:rPr>
            </w:pPr>
          </w:p>
        </w:tc>
      </w:tr>
      <w:tr w:rsidR="00366D64" w:rsidRPr="00056292" w:rsidTr="0066089B">
        <w:trPr>
          <w:cantSplit/>
          <w:trHeight w:val="413"/>
          <w:jc w:val="center"/>
        </w:trPr>
        <w:tc>
          <w:tcPr>
            <w:tcW w:w="2552" w:type="dxa"/>
            <w:tcBorders>
              <w:top w:val="single" w:sz="4" w:space="0" w:color="000000"/>
              <w:left w:val="single" w:sz="4" w:space="0" w:color="000000"/>
              <w:bottom w:val="single" w:sz="4" w:space="0" w:color="000000"/>
            </w:tcBorders>
            <w:shd w:val="clear" w:color="auto" w:fill="D9D9D9"/>
            <w:vAlign w:val="center"/>
          </w:tcPr>
          <w:p w:rsidR="00366D64" w:rsidRPr="00056292" w:rsidRDefault="00366D64" w:rsidP="0021748B">
            <w:pPr>
              <w:spacing w:beforeAutospacing="1" w:after="0" w:afterAutospacing="1"/>
              <w:textAlignment w:val="baseline"/>
              <w:rPr>
                <w:rFonts w:eastAsia="Times New Roman" w:cstheme="minorHAnsi"/>
                <w:b/>
              </w:rPr>
            </w:pPr>
            <w:r w:rsidRPr="00056292">
              <w:rPr>
                <w:rFonts w:eastAsia="Times New Roman" w:cstheme="minorHAnsi"/>
                <w:b/>
              </w:rPr>
              <w:t>Потпис и печат:</w:t>
            </w:r>
          </w:p>
        </w:tc>
        <w:tc>
          <w:tcPr>
            <w:tcW w:w="6088" w:type="dxa"/>
            <w:tcBorders>
              <w:top w:val="single" w:sz="4" w:space="0" w:color="000000"/>
              <w:left w:val="single" w:sz="4" w:space="0" w:color="000000"/>
              <w:bottom w:val="single" w:sz="4" w:space="0" w:color="000000"/>
              <w:right w:val="single" w:sz="4" w:space="0" w:color="000000"/>
            </w:tcBorders>
            <w:vAlign w:val="center"/>
          </w:tcPr>
          <w:p w:rsidR="00366D64" w:rsidRPr="00056292" w:rsidRDefault="00366D64" w:rsidP="0021748B">
            <w:pPr>
              <w:snapToGrid w:val="0"/>
              <w:rPr>
                <w:b/>
                <w:color w:val="000000"/>
              </w:rPr>
            </w:pPr>
          </w:p>
        </w:tc>
      </w:tr>
      <w:tr w:rsidR="00366D64" w:rsidRPr="00056292" w:rsidTr="0066089B">
        <w:trPr>
          <w:cantSplit/>
          <w:trHeight w:val="260"/>
          <w:jc w:val="center"/>
        </w:trPr>
        <w:tc>
          <w:tcPr>
            <w:tcW w:w="2552" w:type="dxa"/>
            <w:tcBorders>
              <w:top w:val="single" w:sz="4" w:space="0" w:color="000000"/>
              <w:left w:val="single" w:sz="4" w:space="0" w:color="000000"/>
              <w:bottom w:val="single" w:sz="4" w:space="0" w:color="000000"/>
            </w:tcBorders>
            <w:shd w:val="clear" w:color="auto" w:fill="D9D9D9"/>
            <w:vAlign w:val="center"/>
          </w:tcPr>
          <w:p w:rsidR="00366D64" w:rsidRPr="00056292" w:rsidRDefault="00366D64" w:rsidP="0021748B">
            <w:pPr>
              <w:spacing w:beforeAutospacing="1" w:after="0" w:afterAutospacing="1"/>
              <w:textAlignment w:val="baseline"/>
              <w:rPr>
                <w:rFonts w:eastAsia="Times New Roman" w:cstheme="minorHAnsi"/>
                <w:b/>
              </w:rPr>
            </w:pPr>
            <w:r w:rsidRPr="00056292">
              <w:rPr>
                <w:rFonts w:eastAsia="Times New Roman" w:cstheme="minorHAnsi"/>
                <w:b/>
              </w:rPr>
              <w:t>Датум и место:</w:t>
            </w:r>
          </w:p>
        </w:tc>
        <w:tc>
          <w:tcPr>
            <w:tcW w:w="6088" w:type="dxa"/>
            <w:tcBorders>
              <w:top w:val="single" w:sz="4" w:space="0" w:color="000000"/>
              <w:left w:val="single" w:sz="4" w:space="0" w:color="000000"/>
              <w:bottom w:val="single" w:sz="4" w:space="0" w:color="000000"/>
              <w:right w:val="single" w:sz="4" w:space="0" w:color="000000"/>
            </w:tcBorders>
            <w:vAlign w:val="center"/>
          </w:tcPr>
          <w:p w:rsidR="00366D64" w:rsidRPr="00056292" w:rsidRDefault="00366D64" w:rsidP="0021748B">
            <w:pPr>
              <w:snapToGrid w:val="0"/>
              <w:rPr>
                <w:b/>
                <w:color w:val="000000"/>
              </w:rPr>
            </w:pPr>
          </w:p>
        </w:tc>
      </w:tr>
    </w:tbl>
    <w:p w:rsidR="0083303B" w:rsidRPr="0083303B" w:rsidRDefault="0083303B" w:rsidP="00366D64">
      <w:pPr>
        <w:spacing w:after="0"/>
        <w:rPr>
          <w:lang w:val="en-US"/>
        </w:rPr>
      </w:pPr>
    </w:p>
    <w:sectPr w:rsidR="0083303B" w:rsidRPr="0083303B" w:rsidSect="0083303B">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BE6" w:rsidRDefault="00411BE6" w:rsidP="0083303B">
      <w:pPr>
        <w:spacing w:after="0" w:line="240" w:lineRule="auto"/>
      </w:pPr>
      <w:r>
        <w:separator/>
      </w:r>
    </w:p>
  </w:endnote>
  <w:endnote w:type="continuationSeparator" w:id="0">
    <w:p w:rsidR="00411BE6" w:rsidRDefault="00411BE6" w:rsidP="00833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BE6" w:rsidRDefault="00411BE6" w:rsidP="0083303B">
      <w:pPr>
        <w:spacing w:after="0" w:line="240" w:lineRule="auto"/>
      </w:pPr>
      <w:r>
        <w:separator/>
      </w:r>
    </w:p>
  </w:footnote>
  <w:footnote w:type="continuationSeparator" w:id="0">
    <w:p w:rsidR="00411BE6" w:rsidRDefault="00411BE6" w:rsidP="008330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23A06"/>
    <w:multiLevelType w:val="hybridMultilevel"/>
    <w:tmpl w:val="60F2B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03B"/>
    <w:rsid w:val="00366D64"/>
    <w:rsid w:val="00411BE6"/>
    <w:rsid w:val="00595F6B"/>
    <w:rsid w:val="0066089B"/>
    <w:rsid w:val="0083303B"/>
    <w:rsid w:val="009256ED"/>
    <w:rsid w:val="00B827C0"/>
    <w:rsid w:val="00DD3A67"/>
    <w:rsid w:val="00EC6599"/>
    <w:rsid w:val="00F328F1"/>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6D64"/>
    <w:pPr>
      <w:keepNext/>
      <w:spacing w:before="240" w:after="60" w:line="276"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0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03B"/>
  </w:style>
  <w:style w:type="paragraph" w:styleId="Footer">
    <w:name w:val="footer"/>
    <w:basedOn w:val="Normal"/>
    <w:link w:val="FooterChar"/>
    <w:uiPriority w:val="99"/>
    <w:unhideWhenUsed/>
    <w:rsid w:val="008330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03B"/>
  </w:style>
  <w:style w:type="character" w:customStyle="1" w:styleId="Heading1Char">
    <w:name w:val="Heading 1 Char"/>
    <w:basedOn w:val="DefaultParagraphFont"/>
    <w:link w:val="Heading1"/>
    <w:uiPriority w:val="9"/>
    <w:rsid w:val="00366D64"/>
    <w:rPr>
      <w:rFonts w:ascii="Cambria" w:eastAsia="Times New Roman" w:hAnsi="Cambria" w:cs="Times New Roman"/>
      <w:b/>
      <w:bCs/>
      <w:kern w:val="32"/>
      <w:sz w:val="32"/>
      <w:szCs w:val="32"/>
    </w:rPr>
  </w:style>
  <w:style w:type="character" w:styleId="Hyperlink">
    <w:name w:val="Hyperlink"/>
    <w:basedOn w:val="DefaultParagraphFont"/>
    <w:uiPriority w:val="99"/>
    <w:unhideWhenUsed/>
    <w:rsid w:val="00366D64"/>
    <w:rPr>
      <w:color w:val="0563C1" w:themeColor="hyperlink"/>
      <w:u w:val="single"/>
    </w:rPr>
  </w:style>
  <w:style w:type="paragraph" w:styleId="ListParagraph">
    <w:name w:val="List Paragraph"/>
    <w:basedOn w:val="Normal"/>
    <w:uiPriority w:val="34"/>
    <w:qFormat/>
    <w:rsid w:val="00366D64"/>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6D64"/>
    <w:pPr>
      <w:keepNext/>
      <w:spacing w:before="240" w:after="60" w:line="276"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0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03B"/>
  </w:style>
  <w:style w:type="paragraph" w:styleId="Footer">
    <w:name w:val="footer"/>
    <w:basedOn w:val="Normal"/>
    <w:link w:val="FooterChar"/>
    <w:uiPriority w:val="99"/>
    <w:unhideWhenUsed/>
    <w:rsid w:val="008330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03B"/>
  </w:style>
  <w:style w:type="character" w:customStyle="1" w:styleId="Heading1Char">
    <w:name w:val="Heading 1 Char"/>
    <w:basedOn w:val="DefaultParagraphFont"/>
    <w:link w:val="Heading1"/>
    <w:uiPriority w:val="9"/>
    <w:rsid w:val="00366D64"/>
    <w:rPr>
      <w:rFonts w:ascii="Cambria" w:eastAsia="Times New Roman" w:hAnsi="Cambria" w:cs="Times New Roman"/>
      <w:b/>
      <w:bCs/>
      <w:kern w:val="32"/>
      <w:sz w:val="32"/>
      <w:szCs w:val="32"/>
    </w:rPr>
  </w:style>
  <w:style w:type="character" w:styleId="Hyperlink">
    <w:name w:val="Hyperlink"/>
    <w:basedOn w:val="DefaultParagraphFont"/>
    <w:uiPriority w:val="99"/>
    <w:unhideWhenUsed/>
    <w:rsid w:val="00366D64"/>
    <w:rPr>
      <w:color w:val="0563C1" w:themeColor="hyperlink"/>
      <w:u w:val="single"/>
    </w:rPr>
  </w:style>
  <w:style w:type="paragraph" w:styleId="ListParagraph">
    <w:name w:val="List Paragraph"/>
    <w:basedOn w:val="Normal"/>
    <w:uiPriority w:val="34"/>
    <w:qFormat/>
    <w:rsid w:val="00366D6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c.europa.eu/europeaid/prag/document.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E8B7E-B9F6-49B9-9793-50400C8E7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Vaska C. Panova</cp:lastModifiedBy>
  <cp:revision>3</cp:revision>
  <dcterms:created xsi:type="dcterms:W3CDTF">2018-12-12T10:37:00Z</dcterms:created>
  <dcterms:modified xsi:type="dcterms:W3CDTF">2018-12-12T10:37:00Z</dcterms:modified>
</cp:coreProperties>
</file>